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Запись разговоров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Модуль «Запись разговоров» записывает все разговоры, которые проходят через АТС.</w:t>
      </w:r>
      <w:r>
        <w:rPr/>
        <w:t xml:space="preserve"> </w:t>
      </w:r>
    </w:p>
    <w:p>
      <w:pPr>
        <w:spacing w:lineRule="auto"/>
      </w:pPr>
      <w:r>
        <w:rPr/>
        <w:t xml:space="preserve">Чтобы подключить модуль, в панели управления onlinePBX перейдите в </w:t>
      </w:r>
      <w:r>
        <w:rPr/>
        <w:t xml:space="preserve">Сервисы &gt; Запись разговоров.</w:t>
      </w:r>
      <w:r>
        <w:rPr/>
        <w:t xml:space="preserve"> В поле «Запись разговоров» нажмите на </w:t>
      </w:r>
      <w:r>
        <w:rPr/>
        <w:t xml:space="preserve">«Оплатить запись разговоров»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198012"/>
            <wp:effectExtent b="0" l="0" r="0" t="0"/>
            <wp:docPr id="1" name="image-L-YiXEEledXQxDhqNgoWI.png"/>
            <a:graphic>
              <a:graphicData uri="http://schemas.openxmlformats.org/drawingml/2006/picture">
                <pic:pic>
                  <pic:nvPicPr>
                    <pic:cNvPr id="1" name="image-L-YiXEEledXQxDhqNgoWI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80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Откроется раздел оплаты. Оплатите лицензию </w:t>
      </w:r>
      <w:r>
        <w:rPr/>
        <w:t xml:space="preserve">«Запись разговоров»</w:t>
      </w:r>
      <w:r>
        <w:rPr/>
        <w:t xml:space="preserve">. Подробнее об оплате в </w:t>
      </w:r>
      <w:hyperlink r:id="rId7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2059841"/>
            <wp:effectExtent b="0" l="0" r="0" t="0"/>
            <wp:docPr id="2" name="image-dHwwBzgL5So4KFZeFOtKV.png"/>
            <a:graphic>
              <a:graphicData uri="http://schemas.openxmlformats.org/drawingml/2006/picture">
                <pic:pic>
                  <pic:nvPicPr>
                    <pic:cNvPr id="2" name="image-dHwwBzgL5So4KFZeFOtKV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9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активации лицензии на модуль «Запись разговоров» в этом разделе можно посмотреть дату, с которой ведется запись. Есть тумблер для выключения или включения модуля. При наличии активной лицензии на «Запись разговоров» тумблер по умолчанию в положении «Включён».</w:t>
      </w:r>
    </w:p>
    <w:p>
      <w:pPr>
        <w:spacing w:lineRule="auto"/>
      </w:pPr>
      <w:r>
        <w:rPr/>
        <w:drawing>
          <wp:inline distB="0" distL="0" distR="0" distT="0">
            <wp:extent cx="4924425" cy="5114925"/>
            <wp:effectExtent b="0" l="0" r="0" t="0"/>
            <wp:docPr id="3" name="image-CeoxZsPsAsKWpavkRja0U.png"/>
            <a:graphic>
              <a:graphicData uri="http://schemas.openxmlformats.org/drawingml/2006/picture">
                <pic:pic>
                  <pic:nvPicPr>
                    <pic:cNvPr id="3" name="image-CeoxZsPsAsKWpavkRja0U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114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Увеличить время хранения записи разговоров можно не ранее чем за 90 дней до окончания оплаченного периода.</w:t>
      </w:r>
    </w:p>
    <w:p>
      <w:pPr>
        <w:spacing w:lineRule="auto"/>
      </w:pPr>
      <w:r>
        <w:rPr>
          <w:b/>
        </w:rPr>
        <w:t xml:space="preserve">Особенности работы лицензии «Запись разговоров»:</w:t>
      </w:r>
    </w:p>
    <w:p>
      <w:pPr>
        <w:numPr>
          <w:ilvl w:val="0"/>
          <w:numId w:val="1"/>
        </w:numPr>
        <w:spacing w:lineRule="auto"/>
      </w:pPr>
      <w:r>
        <w:rPr/>
        <w:t xml:space="preserve">При регистрации нового аккаунта выдаётся тестовая лицензия «Запись разговоров» на семь дней. </w:t>
      </w:r>
    </w:p>
    <w:p>
      <w:pPr>
        <w:numPr>
          <w:ilvl w:val="0"/>
          <w:numId w:val="1"/>
        </w:numPr>
        <w:spacing w:lineRule="auto"/>
      </w:pPr>
      <w:r>
        <w:rPr/>
        <w:t xml:space="preserve">Запись разговоров можно подключить при наличии оплаченной лицензии минимум на одного пользователя и подключённого внешнего номера (транка). </w:t>
      </w:r>
    </w:p>
    <w:p>
      <w:pPr>
        <w:numPr>
          <w:ilvl w:val="0"/>
          <w:numId w:val="1"/>
        </w:numPr>
        <w:spacing w:lineRule="auto"/>
      </w:pPr>
      <w:r>
        <w:rPr/>
        <w:t xml:space="preserve">Запись звонков хранится на протяжении одного года. Запись звонков ведётся только в период, на который приобретена лицензия «Запись разговоров»</w:t>
      </w:r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Если необходимо, чтобы запись звонков хранилась дольше одного года, обратитесь в </w:t>
      </w:r>
      <w:hyperlink r:id="rId10">
        <w:r>
          <w:rPr>
            <w:rStyle w:val="Hyperlink"/>
          </w:rPr>
          <w:t xml:space="preserve">техническую поддержку</w:t>
        </w:r>
      </w:hyperlink>
      <w:r>
        <w:rPr/>
        <w:t xml:space="preserve"> onlinePBX.</w:t>
      </w:r>
    </w:p>
    <w:p>
      <w:pPr>
        <w:numPr>
          <w:ilvl w:val="0"/>
          <w:numId w:val="1"/>
        </w:numPr>
        <w:spacing w:lineRule="auto"/>
      </w:pPr>
      <w:r>
        <w:rPr/>
        <w:t xml:space="preserve">При оплате лицензии «Запись разговоров», она подключается автоматически.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Стереозапись</w:t>
      </w:r>
    </w:p>
    <w:p>
      <w:pPr>
        <w:spacing w:lineRule="auto"/>
      </w:pPr>
      <w:r>
        <w:rPr/>
        <w:t xml:space="preserve">После включения модуля «Запись разговоров» можно включить функцию «Стереозапись». Для этого перейдите в </w:t>
      </w:r>
      <w:r>
        <w:rPr/>
        <w:t xml:space="preserve">Сервисы &gt; Запись разговоров</w:t>
      </w:r>
      <w:r>
        <w:rPr/>
        <w:t xml:space="preserve">, в поле </w:t>
      </w:r>
      <w:r>
        <w:rPr/>
        <w:t xml:space="preserve">«Стереозапись»</w:t>
      </w:r>
      <w:r>
        <w:rPr/>
        <w:t xml:space="preserve"> нажмите </w:t>
      </w:r>
      <w:r>
        <w:rPr/>
        <w:t xml:space="preserve">«Оплатить стереозапись».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Откроется раздел оплаты. Оплатите лицензию </w:t>
      </w:r>
      <w:r>
        <w:rPr/>
        <w:t xml:space="preserve">«Стереозапись»</w:t>
      </w:r>
      <w:r>
        <w:rPr/>
        <w:t xml:space="preserve">. Подробнее об оплате в </w:t>
      </w:r>
      <w:hyperlink r:id="rId11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2823954"/>
            <wp:effectExtent b="0" l="0" r="0" t="0"/>
            <wp:docPr id="4" name="image-kcc9Ys27YVQJ6PEOJWWyF.png"/>
            <a:graphic>
              <a:graphicData uri="http://schemas.openxmlformats.org/drawingml/2006/picture">
                <pic:pic>
                  <pic:nvPicPr>
                    <pic:cNvPr id="4" name="image-kcc9Ys27YVQJ6PEOJWWyF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39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Особенности работы лицензии «Стереозапись»:</w:t>
      </w:r>
    </w:p>
    <w:p>
      <w:pPr>
        <w:numPr>
          <w:ilvl w:val="0"/>
          <w:numId w:val="2"/>
        </w:numPr>
        <w:spacing w:lineRule="auto"/>
      </w:pPr>
      <w:r>
        <w:rPr/>
        <w:t xml:space="preserve">При регистрации нового аккаунта выдаётся тестовая лицензия «Стереозапись» на семь дней.</w:t>
      </w:r>
    </w:p>
    <w:p>
      <w:pPr>
        <w:numPr>
          <w:ilvl w:val="0"/>
          <w:numId w:val="2"/>
        </w:numPr>
        <w:spacing w:lineRule="auto"/>
      </w:pPr>
      <w:r>
        <w:rPr/>
        <w:t xml:space="preserve">Стереозапись можно подключить при наличии оплаченной лицензии «Запись разговоров». </w:t>
      </w:r>
    </w:p>
    <w:p>
      <w:pPr>
        <w:numPr>
          <w:ilvl w:val="0"/>
          <w:numId w:val="2"/>
        </w:numPr>
        <w:spacing w:lineRule="auto"/>
      </w:pPr>
      <w:r>
        <w:rPr/>
        <w:t xml:space="preserve">Запись звонков хранится на протяжении одного года. Стереозапись ведётся только в период, на который приобретена лицензия «Запись разговоров».</w:t>
      </w:r>
    </w:p>
    <w:p>
      <w:pPr>
        <w:numPr>
          <w:ilvl w:val="0"/>
          <w:numId w:val="2"/>
        </w:numPr>
        <w:spacing w:lineRule="auto"/>
      </w:pPr>
      <w:r>
        <w:rPr/>
        <w:t xml:space="preserve">При стереозаписи один микрофон (собеседник 1) передаёт звук через левый динамик, а другой (собеседник 2) — через правый, это создаёт ощущение широкого звука, отсутствующее в монозаписи.</w:t>
      </w:r>
    </w:p>
    <w:p>
      <w:pPr>
        <w:numPr>
          <w:ilvl w:val="0"/>
          <w:numId w:val="2"/>
        </w:numPr>
        <w:spacing w:lineRule="auto"/>
      </w:pPr>
      <w:r>
        <w:rPr/>
        <w:t xml:space="preserve">Лицензию «Стереозапись» можно приобрести на срок, не превышающий срок приобретённой лицензии «Запись разговоров».</w:t>
      </w:r>
    </w:p>
    <w:p>
      <w:pPr>
        <w:numPr>
          <w:ilvl w:val="0"/>
          <w:numId w:val="2"/>
        </w:numPr>
        <w:spacing w:lineRule="auto"/>
      </w:pPr>
      <w:r>
        <w:rPr/>
        <w:t xml:space="preserve">Есть тумблер для выключения или включения модуля. При наличии активной лицензии на «Стереозапись» тумблер по умолчанию в положении «Включён».</w:t>
      </w:r>
    </w:p>
    <w:p>
      <w:pPr>
        <w:spacing w:lineRule="auto"/>
      </w:pPr>
      <w:r>
        <w:rPr/>
        <w:t xml:space="preserve">По какому праву мы ведём записи разговоров клиентов и зачем?</w:t>
      </w:r>
    </w:p>
    <w:p>
      <w:pPr>
        <w:spacing w:lineRule="auto"/>
      </w:pPr>
      <w:r>
        <w:rPr/>
        <w:t xml:space="preserve">Прямого запрета записи телефонных разговоров сотрудников и клиентов в законодательстве РФ нет. Определена ответственность за ряд действий в отношении получения, хранения и распространения информации, которые попадают под закон </w:t>
      </w:r>
      <w:r>
        <w:rPr/>
        <w:t xml:space="preserve">«Об информации, информационных технологиях и о защите информации»</w:t>
      </w:r>
      <w:r>
        <w:rPr/>
        <w:t xml:space="preserve">. К такой информации относятся сведения, представляющие коммерческую тайну, содержащие данные о частной жизни граждан или персональные данные. Запись разговоров помогает в решении технических вопросов, диагностики неполадок, улучшении качества обслуживания и т. д.</w:t>
      </w:r>
    </w:p>
    <w:p>
      <w:pPr>
        <w:spacing w:lineRule="auto"/>
      </w:pPr>
      <w:r>
        <w:rPr/>
        <w:t xml:space="preserve">Ведение скрытой записи разговоров является противозаконным как в отношении работников организации, так и в отношении клиентов.</w:t>
      </w:r>
    </w:p>
    <w:p>
      <w:pPr>
        <w:spacing w:lineRule="auto"/>
      </w:pPr>
      <w:r>
        <w:rPr/>
        <w:t xml:space="preserve">Ссылки на нормативно-правовые документы</w:t>
      </w:r>
    </w:p>
    <w:p>
      <w:pPr>
        <w:numPr>
          <w:ilvl w:val="0"/>
          <w:numId w:val="3"/>
        </w:numPr>
        <w:spacing w:lineRule="auto"/>
      </w:pPr>
      <w:hyperlink r:id="rId13">
        <w:r>
          <w:rPr>
            <w:rStyle w:val="Hyperlink"/>
          </w:rPr>
          <w:t xml:space="preserve">Конституция РФ (Статьи 23 и 24)</w:t>
        </w:r>
      </w:hyperlink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/>
        <w:t xml:space="preserve">Гражданский кодекс РФ (Статья 150 </w:t>
      </w:r>
      <w:hyperlink r:id="rId14">
        <w:r>
          <w:rPr>
            <w:rStyle w:val="Hyperlink"/>
          </w:rPr>
          <w:t xml:space="preserve">«Нематериальные блага»</w:t>
        </w:r>
      </w:hyperlink>
      <w:r>
        <w:rPr/>
        <w:t xml:space="preserve">, статья 152 </w:t>
      </w:r>
      <w:hyperlink r:id="rId15">
        <w:r>
          <w:rPr>
            <w:rStyle w:val="Hyperlink"/>
          </w:rPr>
          <w:t xml:space="preserve">«Защита чести, достоинства и деловой репутации»</w:t>
        </w:r>
      </w:hyperlink>
      <w:r>
        <w:rPr/>
        <w:t xml:space="preserve">).</w:t>
      </w:r>
    </w:p>
    <w:p>
      <w:pPr>
        <w:numPr>
          <w:ilvl w:val="0"/>
          <w:numId w:val="3"/>
        </w:numPr>
        <w:spacing w:lineRule="auto"/>
      </w:pPr>
      <w:r>
        <w:rPr/>
        <w:t xml:space="preserve">Федеральный закон </w:t>
      </w:r>
      <w:r>
        <w:rPr/>
        <w:t xml:space="preserve">«Об информации, информационных технологиях и о защите информации»</w:t>
      </w:r>
      <w:r>
        <w:rPr/>
        <w:t xml:space="preserve"> (Статья 9. </w:t>
      </w:r>
      <w:hyperlink r:id="rId16">
        <w:r>
          <w:rPr>
            <w:rStyle w:val="Hyperlink"/>
          </w:rPr>
          <w:t xml:space="preserve">«Ограничение доступа к информации»</w:t>
        </w:r>
      </w:hyperlink>
      <w:r>
        <w:rPr/>
        <w:t xml:space="preserve">, пункт 8).</w:t>
      </w:r>
    </w:p>
    <w:p>
      <w:pPr>
        <w:numPr>
          <w:ilvl w:val="0"/>
          <w:numId w:val="3"/>
        </w:numPr>
        <w:spacing w:lineRule="auto"/>
      </w:pPr>
      <w:r>
        <w:rPr/>
        <w:t xml:space="preserve">Федеральный закон </w:t>
      </w:r>
      <w:r>
        <w:rPr/>
        <w:t xml:space="preserve">«О связи» (</w:t>
      </w:r>
      <w:r>
        <w:rPr/>
        <w:t xml:space="preserve">Статья 63. </w:t>
      </w:r>
      <w:r>
        <w:rPr/>
        <w:t xml:space="preserve">Тайна связи</w:t>
      </w:r>
      <w:r>
        <w:rPr/>
        <w:t xml:space="preserve">).</w:t>
      </w:r>
    </w:p>
    <w:p>
      <w:pPr>
        <w:numPr>
          <w:ilvl w:val="0"/>
          <w:numId w:val="3"/>
        </w:numPr>
        <w:spacing w:lineRule="auto"/>
      </w:pPr>
      <w:r>
        <w:rPr/>
        <w:t xml:space="preserve">Уголовный кодекс РФ (Статья 137 </w:t>
      </w:r>
      <w:hyperlink r:id="rId17">
        <w:r>
          <w:rPr>
            <w:rStyle w:val="Hyperlink"/>
          </w:rPr>
          <w:t xml:space="preserve">«Нарушение неприкосновенности частной жизни»</w:t>
        </w:r>
      </w:hyperlink>
      <w:r>
        <w:rPr/>
        <w:t xml:space="preserve">, статья 138 </w:t>
      </w:r>
      <w:hyperlink r:id="rId18">
        <w:r>
          <w:rPr>
            <w:rStyle w:val="Hyperlink"/>
          </w:rPr>
          <w:t xml:space="preserve">«Нарушение тайны переписки, телефонных переговоров, почтовых, телеграфных или иных сообщений»</w:t>
        </w:r>
      </w:hyperlink>
      <w:r>
        <w:rPr/>
        <w:t xml:space="preserve">).</w:t>
      </w:r>
    </w:p>
    <w:p>
      <w:pPr>
        <w:spacing w:lineRule="auto"/>
      </w:pPr>
      <w:r>
        <w:rPr/>
        <w:t xml:space="preserve">Онлайн-версия: </w:t>
      </w:r>
      <w:hyperlink r:id="rId19">
        <w:r>
          <w:rPr>
            <w:rStyle w:val="Hyperlink"/>
          </w:rPr>
          <w:t xml:space="preserve">https://kb.onlinepbx.ru/a/zapis-razgovorov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L-YiXEEledXQxDhqNgoWI.png" TargetMode="Internal"/>
  <Relationship Id="rId7" Type="http://schemas.openxmlformats.org/officeDocument/2006/relationships/hyperlink" Target="https://kb.onlinepbx.ru/a/kak-oplatit" TargetMode="External"/>
  <Relationship Id="rId8" Type="http://schemas.openxmlformats.org/officeDocument/2006/relationships/image" Target="media/image-dHwwBzgL5So4KFZeFOtKV.png" TargetMode="Internal"/>
  <Relationship Id="rId9" Type="http://schemas.openxmlformats.org/officeDocument/2006/relationships/image" Target="media/image-CeoxZsPsAsKWpavkRja0U.png" TargetMode="Internal"/>
  <Relationship Id="rId10" Type="http://schemas.openxmlformats.org/officeDocument/2006/relationships/hyperlink" Target="https://www.onlinepbx.ru/help" TargetMode="External"/>
  <Relationship Id="rId11" Type="http://schemas.openxmlformats.org/officeDocument/2006/relationships/hyperlink" Target="https://kb.onlinepbx.ru/a/kak-oplatit" TargetMode="External"/>
  <Relationship Id="rId12" Type="http://schemas.openxmlformats.org/officeDocument/2006/relationships/image" Target="media/image-kcc9Ys27YVQJ6PEOJWWyF.png" TargetMode="Internal"/>
  <Relationship Id="rId13" Type="http://schemas.openxmlformats.org/officeDocument/2006/relationships/hyperlink" Target="http://duma.gov.ru/news/48953/" TargetMode="External"/>
  <Relationship Id="rId14" Type="http://schemas.openxmlformats.org/officeDocument/2006/relationships/hyperlink" Target="https://www.consultant.ru/document/cons_doc_LAW_5142/f9498350007fc6def03006086be05e29c6f32397/" TargetMode="External"/>
  <Relationship Id="rId15" Type="http://schemas.openxmlformats.org/officeDocument/2006/relationships/hyperlink" Target="https://www.consultant.ru/document/cons_doc_LAW_5142/1de6cd3cbb386056a2ecd2c64ff087b13c8de585/" TargetMode="External"/>
  <Relationship Id="rId16" Type="http://schemas.openxmlformats.org/officeDocument/2006/relationships/hyperlink" Target="https://www.consultant.ru/document/cons_doc_LAW_61798/35f4fb38534799919febebd589466c9838f571b2/#:~:text=%D0%A1%D1%82%D0%B0%D1%82%D1%8C%D1%8F%209.-,%D0%9E%D0%B3%D1%80%D0%B0%D0%BD%D0%B8%D1%87%D0%B5%D0%BD%D0%B8%D0%B5%20%D0%B4%D0%BE%D1%81%D1%82%D1%83%D0%BF%D0%B0%20%D0%BA%20%D0%B8%D0%BD%D1%84%D0%BE%D1%80%D0%BC%D0%B0%D1%86%D0%B8%D0%B8,%D0%BE%D0%B1%D0%BE%D1%80%D0%BE%D0%BD%D1%8B%20%D1%81%D1%82%D1%80%D0%B0%D0%BD%D1%8B%20%D0%B8%20%D0%B1%D0%B5%D0%B7%D0%BE%D0%BF%D0%B0%D1%81%D0%BD%D0%BE%D1%81%D1%82%D0%B8%20%D0%B3%D0%BE%D1%81%D1%83%D0%B4%D0%B0%D1%80%D1%81%D1%82%D0%B2%D0%B0." TargetMode="External"/>
  <Relationship Id="rId17" Type="http://schemas.openxmlformats.org/officeDocument/2006/relationships/hyperlink" Target="https://www.consultant.ru/document/cons_doc_LAW_10699/4234a27af714cc608ea71b7bae9400f3613c8f60/" TargetMode="External"/>
  <Relationship Id="rId18" Type="http://schemas.openxmlformats.org/officeDocument/2006/relationships/hyperlink" Target="https://www.consultant.ru/document/cons_doc_LAW_10699/cad87fb351934e731be49cb6ee1b17de00c25d46/" TargetMode="External"/>
  <Relationship Id="rId19" Type="http://schemas.openxmlformats.org/officeDocument/2006/relationships/hyperlink" Target="https://kb.onlinepbx.ru/a/zapis-razgovorov" TargetMode="External"/>
  <Relationship Id="rId2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разговоров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