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«Оплата сервиса»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Раздел позволяет оплатить лицензию </w:t>
      </w:r>
      <w:r>
        <w:rPr/>
        <w:t xml:space="preserve">в onlinePBX, получить информацию по истории платежей, а также скачать инвойс и акт сверки.</w:t>
      </w:r>
    </w:p>
    <w:p>
      <w:pPr>
        <w:pStyle w:val="Heading2"/>
        <w:spacing w:lineRule="auto"/>
      </w:pPr>
      <w:r>
        <w:rPr/>
        <w:t xml:space="preserve">Оплата сервиса на аккаунте</w:t>
      </w:r>
    </w:p>
    <w:p>
      <w:pPr>
        <w:spacing w:lineRule="auto"/>
      </w:pPr>
      <w:r>
        <w:rPr/>
        <w:t xml:space="preserve">В личном кабинете onlinePBX нажмите на три горизонтальные линии и перейдите в </w:t>
      </w:r>
      <w:r>
        <w:rPr/>
        <w:t xml:space="preserve">«Оплата сервиса»</w:t>
      </w:r>
      <w:r>
        <w:rPr/>
        <w:t xml:space="preserve"> (также можно нажать на </w:t>
      </w:r>
      <w:r>
        <w:rPr/>
        <w:t xml:space="preserve">«Активный до...»</w:t>
      </w:r>
      <w:r>
        <w:rPr/>
        <w:t xml:space="preserve"> в правом верхнем углу).</w:t>
      </w:r>
    </w:p>
    <w:p>
      <w:pPr>
        <w:spacing w:lineRule="auto"/>
      </w:pPr>
      <w:r>
        <w:rPr/>
        <w:drawing>
          <wp:inline distB="0" distL="0" distR="0" distT="0">
            <wp:extent cx="5486400" cy="2675163"/>
            <wp:effectExtent b="0" l="0" r="0" t="0"/>
            <wp:docPr id="1" name="image-4FXosQey3cK_jGil2wa8W.png"/>
            <a:graphic>
              <a:graphicData uri="http://schemas.openxmlformats.org/drawingml/2006/picture">
                <pic:pic>
                  <pic:nvPicPr>
                    <pic:cNvPr id="1" name="image-4FXosQey3cK_jGil2wa8W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51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Статусы оплаты лицензии</w:t>
      </w:r>
    </w:p>
    <w:p>
      <w:pPr>
        <w:numPr>
          <w:ilvl w:val="0"/>
          <w:numId w:val="1"/>
        </w:numPr>
        <w:spacing w:lineRule="auto"/>
      </w:pPr>
      <w:r>
        <w:rPr/>
        <w:t xml:space="preserve">Зелёная надпись </w:t>
      </w:r>
      <w:r>
        <w:rPr/>
        <w:t xml:space="preserve">«Тестовый период до ...»</w:t>
      </w:r>
      <w:r>
        <w:rPr/>
        <w:t xml:space="preserve"> — активна тестовая лицензия, даже если есть оплаченная лицензия на пользователей в статусе </w:t>
      </w:r>
      <w:r>
        <w:rPr/>
        <w:t xml:space="preserve">«Ожидает активации»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Зелёная надпись </w:t>
      </w:r>
      <w:r>
        <w:rPr/>
        <w:t xml:space="preserve">«Активный до ...»</w:t>
      </w:r>
      <w:r>
        <w:rPr/>
        <w:t xml:space="preserve"> — есть активная оплаченная лицензия на пользователей. </w:t>
      </w:r>
    </w:p>
    <w:p>
      <w:pPr>
        <w:numPr>
          <w:ilvl w:val="0"/>
          <w:numId w:val="1"/>
        </w:numPr>
        <w:spacing w:lineRule="auto"/>
      </w:pPr>
      <w:r>
        <w:rPr/>
        <w:t xml:space="preserve">Красная надпись </w:t>
      </w:r>
      <w:r>
        <w:rPr/>
        <w:t xml:space="preserve">«Не активен»</w:t>
      </w:r>
      <w:r>
        <w:rPr/>
        <w:t xml:space="preserve"> — есть активная оплаченная лицензия на платные модули, но нет активной оплаченной лицензии на пользователей. </w:t>
      </w:r>
    </w:p>
    <w:p>
      <w:pPr>
        <w:numPr>
          <w:ilvl w:val="0"/>
          <w:numId w:val="1"/>
        </w:numPr>
        <w:spacing w:lineRule="auto"/>
      </w:pPr>
      <w:r>
        <w:rPr/>
        <w:t xml:space="preserve">Красная надпись </w:t>
      </w:r>
      <w:r>
        <w:rPr/>
        <w:t xml:space="preserve">«Нет активных лицензий»</w:t>
      </w:r>
      <w:r>
        <w:rPr/>
        <w:t xml:space="preserve"> — нет активных оплаченных лицензий.</w:t>
      </w:r>
    </w:p>
    <w:p>
      <w:pPr>
        <w:spacing w:lineRule="auto"/>
      </w:pPr>
      <w:r>
        <w:rPr/>
        <w:t xml:space="preserve">В левой части страницы расположено четыре основных вкладки: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Оплата.</w:t>
      </w:r>
      <w:r>
        <w:rPr/>
        <w:t xml:space="preserve"> Подробнее об оплате в отдельной </w:t>
      </w:r>
      <w:hyperlink r:id="rId7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Лицензии.</w:t>
      </w:r>
      <w:r>
        <w:rPr/>
        <w:t xml:space="preserve"> Можно посмотреть созданные лицензии на аккаунте.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История платежей.</w:t>
      </w:r>
      <w:r>
        <w:rPr/>
        <w:t xml:space="preserve"> Можно посмотреть историю ваших оплат.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Помощь.</w:t>
      </w:r>
      <w:r>
        <w:rPr/>
        <w:t xml:space="preserve"> Можно получить информацию по документам и связаться с технической поддержкой onlinePBX.</w:t>
      </w:r>
    </w:p>
    <w:p>
      <w:pPr>
        <w:spacing w:lineRule="auto"/>
      </w:pPr>
      <w:r>
        <w:rPr/>
        <w:drawing>
          <wp:inline distB="0" distL="0" distR="0" distT="0">
            <wp:extent cx="5486400" cy="2816679"/>
            <wp:effectExtent b="0" l="0" r="0" t="0"/>
            <wp:docPr id="2" name="image-BL8-gtDcUxngKav9tmNIT.png"/>
            <a:graphic>
              <a:graphicData uri="http://schemas.openxmlformats.org/drawingml/2006/picture">
                <pic:pic>
                  <pic:nvPicPr>
                    <pic:cNvPr id="2" name="image-BL8-gtDcUxngKav9tmNIT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66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Раздел «Оплата»</w:t>
      </w:r>
    </w:p>
    <w:p>
      <w:pPr>
        <w:spacing w:lineRule="auto"/>
      </w:pPr>
      <w:r>
        <w:rPr/>
        <w:t xml:space="preserve">Раздел позволяет оплатить лицензии в onlinePBX.</w:t>
      </w:r>
    </w:p>
    <w:p>
      <w:pPr>
        <w:spacing w:lineRule="auto"/>
      </w:pPr>
      <w:r>
        <w:rPr/>
        <w:t xml:space="preserve">На странице расположено четыре основных блока: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Покупка лицензий</w:t>
      </w:r>
      <w:r>
        <w:rPr/>
        <w:t xml:space="preserve">. Блок для выбора валюты и оплаты лицензий. Подробнее об оплате в </w:t>
      </w:r>
      <w:hyperlink r:id="rId9">
        <w:r>
          <w:rPr>
            <w:rStyle w:val="Hyperlink"/>
          </w:rPr>
          <w:t xml:space="preserve">статье.</w:t>
        </w:r>
      </w:hyperlink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Активные лицензии</w:t>
      </w:r>
      <w:r>
        <w:rPr/>
        <w:t xml:space="preserve">. Можно увидеть, какие лицензии сейчас активны.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Автоматически включать неактивных пользователей.</w:t>
      </w:r>
      <w:r>
        <w:rPr/>
        <w:t xml:space="preserve"> Если флажок выключен, то после оплаты состояния пользователей не меняются. Если флажок включен, после оплаты пользователи включаются автоматически в порядке возрастания добавочного номера, начиная с 100.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Автоплатёж.</w:t>
      </w:r>
      <w:r>
        <w:rPr/>
        <w:t xml:space="preserve"> Вы можете подключить автоплатёж. Подробная информация в статье </w:t>
      </w:r>
      <w:hyperlink r:id="rId10">
        <w:r>
          <w:rPr>
            <w:rStyle w:val="Hyperlink"/>
          </w:rPr>
          <w:t xml:space="preserve">Автоматический платёж</w:t>
        </w:r>
      </w:hyperlink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52914"/>
            <wp:effectExtent b="0" l="0" r="0" t="0"/>
            <wp:docPr id="3" name="image-u855iGAJ1IaIoLMUxXJvK.png"/>
            <a:graphic>
              <a:graphicData uri="http://schemas.openxmlformats.org/drawingml/2006/picture">
                <pic:pic>
                  <pic:nvPicPr>
                    <pic:cNvPr id="3" name="image-u855iGAJ1IaIoLMUxXJvK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2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регистрации и при первом переходе в раздел «Оплата сервиса» открывается новое окно с выбором валюты, его нельзя закрыть, пока не будет сделан выбор.</w:t>
      </w:r>
    </w:p>
    <w:p>
      <w:pPr>
        <w:pStyle w:val="Heading3"/>
        <w:spacing w:lineRule="auto"/>
      </w:pPr>
      <w:r>
        <w:rPr/>
        <w:t xml:space="preserve">Раздел «Лицензии»</w:t>
      </w:r>
    </w:p>
    <w:p>
      <w:pPr>
        <w:spacing w:lineRule="auto"/>
      </w:pPr>
      <w:r>
        <w:rPr/>
        <w:t xml:space="preserve">Раздел позволяет посмотреть уже подключённые лицензии на аккаунте onlinePBX.</w:t>
      </w:r>
    </w:p>
    <w:p>
      <w:pPr>
        <w:spacing w:lineRule="auto"/>
      </w:pPr>
      <w:r>
        <w:rPr/>
        <w:t xml:space="preserve">На странице расположено три основных блока:</w:t>
      </w:r>
    </w:p>
    <w:p>
      <w:pPr>
        <w:spacing w:lineRule="auto"/>
      </w:pPr>
      <w:r>
        <w:rPr>
          <w:b/>
        </w:rPr>
        <w:t xml:space="preserve">Лицензии:</w:t>
      </w:r>
      <w:r>
        <w:rPr/>
        <w:t xml:space="preserve"> можно просмотреть уже подключённые лицензии на аккаунте; отображается список всех лицензий; у лицензии отображается: название модуля, дата начала и окончания действия лицензии, автоплатёж, стоимость лицензии.</w:t>
      </w:r>
    </w:p>
    <w:p>
      <w:pPr>
        <w:spacing w:lineRule="auto"/>
      </w:pPr>
      <w:r>
        <w:rPr/>
        <w:t xml:space="preserve">Лицензии группируются по статусам**:**</w:t>
      </w:r>
    </w:p>
    <w:p>
      <w:pPr>
        <w:numPr>
          <w:ilvl w:val="0"/>
          <w:numId w:val="4"/>
        </w:numPr>
        <w:spacing w:lineRule="auto"/>
      </w:pPr>
      <w:r>
        <w:rPr/>
        <w:t xml:space="preserve">Активные (оплаченные действующие), обозначены зелёным цветом.</w:t>
      </w:r>
    </w:p>
    <w:p>
      <w:pPr>
        <w:numPr>
          <w:ilvl w:val="0"/>
          <w:numId w:val="4"/>
        </w:numPr>
        <w:spacing w:lineRule="auto"/>
      </w:pPr>
      <w:r>
        <w:rPr/>
        <w:t xml:space="preserve">Ожидают оплаты (не прошла оплата картой; сформирован инвойс, но деньги ещё не пришли; дополнительные лицензии, которые созданы, но ещё не оплачены).</w:t>
      </w:r>
    </w:p>
    <w:p>
      <w:pPr>
        <w:numPr>
          <w:ilvl w:val="0"/>
          <w:numId w:val="4"/>
        </w:numPr>
        <w:spacing w:lineRule="auto"/>
      </w:pPr>
      <w:r>
        <w:rPr/>
        <w:t xml:space="preserve">Оплаченные лицензии будущих периодов (будут активированы автоматически), подсвечены жёлтым цветом.</w:t>
      </w:r>
    </w:p>
    <w:p>
      <w:pPr>
        <w:numPr>
          <w:ilvl w:val="0"/>
          <w:numId w:val="4"/>
        </w:numPr>
        <w:spacing w:lineRule="auto"/>
      </w:pPr>
      <w:r>
        <w:rPr/>
        <w:t xml:space="preserve">Завершённые (лицензии, у которых истёк срок действия).</w:t>
      </w:r>
    </w:p>
    <w:p>
      <w:pPr>
        <w:numPr>
          <w:ilvl w:val="0"/>
          <w:numId w:val="4"/>
        </w:numPr>
        <w:spacing w:lineRule="auto"/>
      </w:pPr>
      <w:r>
        <w:rPr/>
        <w:t xml:space="preserve">Отклонённые (сотрудник onlinePBX отклонил вручную или произошёл возврат средств).</w:t>
      </w:r>
    </w:p>
    <w:p>
      <w:pPr>
        <w:spacing w:lineRule="auto"/>
      </w:pPr>
      <w:r>
        <w:rPr>
          <w:b/>
        </w:rPr>
        <w:t xml:space="preserve">Справка</w:t>
      </w:r>
      <w:r>
        <w:rPr/>
        <w:t xml:space="preserve">. Размещены ответы на часто задаваемые вопросы, справочная информация о финансовых вопросах, документах, оферте. И есть контакты для связи с финансовым отделом onlinePBX и отделом продаж.</w:t>
      </w:r>
    </w:p>
    <w:p>
      <w:pPr>
        <w:spacing w:lineRule="auto"/>
      </w:pPr>
      <w:r>
        <w:rPr>
          <w:b/>
        </w:rPr>
        <w:t xml:space="preserve">Автоплатёж.</w:t>
      </w:r>
      <w:r>
        <w:rPr/>
        <w:t xml:space="preserve"> Вы можете подключить автоплатёж. Подробная информация в статье </w:t>
      </w:r>
      <w:hyperlink r:id="rId12">
        <w:r>
          <w:rPr>
            <w:rStyle w:val="Hyperlink"/>
          </w:rPr>
          <w:t xml:space="preserve">Автоматический платёж</w:t>
        </w:r>
      </w:hyperlink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50011"/>
            <wp:effectExtent b="0" l="0" r="0" t="0"/>
            <wp:docPr id="4" name="image-dXdd0HrQ_Ax4gehLA4Cyi.png"/>
            <a:graphic>
              <a:graphicData uri="http://schemas.openxmlformats.org/drawingml/2006/picture">
                <pic:pic>
                  <pic:nvPicPr>
                    <pic:cNvPr id="4" name="image-dXdd0HrQ_Ax4gehLA4Cyi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00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разделе «Лицензии» все лицензии отображаются в той валюте, в которой были созданы и оплачены.</w:t>
      </w:r>
    </w:p>
    <w:p>
      <w:pPr>
        <w:pStyle w:val="Heading3"/>
        <w:spacing w:lineRule="auto"/>
      </w:pPr>
      <w:r>
        <w:rPr/>
        <w:t xml:space="preserve">Раздел «История платежей»</w:t>
      </w:r>
    </w:p>
    <w:p>
      <w:pPr>
        <w:spacing w:lineRule="auto"/>
      </w:pPr>
      <w:r>
        <w:rPr/>
        <w:t xml:space="preserve">Во вкладке </w:t>
      </w:r>
      <w:r>
        <w:rPr/>
        <w:t xml:space="preserve">«История платежей»</w:t>
      </w:r>
      <w:r>
        <w:rPr/>
        <w:t xml:space="preserve"> видна информация о совершённых платежах:</w:t>
      </w:r>
    </w:p>
    <w:p>
      <w:pPr>
        <w:spacing w:lineRule="auto"/>
      </w:pPr>
      <w:r>
        <w:rPr>
          <w:b/>
        </w:rPr>
        <w:t xml:space="preserve">Статус.</w:t>
      </w:r>
      <w:r>
        <w:rPr/>
        <w:t xml:space="preserve"> Показывает, зачислен ли платёж.</w:t>
      </w:r>
    </w:p>
    <w:p>
      <w:pPr>
        <w:spacing w:lineRule="auto"/>
      </w:pPr>
      <w:r>
        <w:rPr/>
        <w:t xml:space="preserve">Статусы группируются по состоянию оплаты**:**</w:t>
      </w:r>
    </w:p>
    <w:p>
      <w:pPr>
        <w:numPr>
          <w:ilvl w:val="0"/>
          <w:numId w:val="5"/>
        </w:numPr>
        <w:spacing w:lineRule="auto"/>
      </w:pPr>
      <w:r>
        <w:rPr/>
        <w:t xml:space="preserve">Оплачен (оплата успешно прошла).</w:t>
      </w:r>
    </w:p>
    <w:p>
      <w:pPr>
        <w:numPr>
          <w:ilvl w:val="0"/>
          <w:numId w:val="5"/>
        </w:numPr>
        <w:spacing w:lineRule="auto"/>
      </w:pPr>
      <w:r>
        <w:rPr/>
        <w:t xml:space="preserve">Передано в оплату (статус с указанием даты, до которой ожидается оплата). Если оплата до указанного срока не проведена, статус поменяется на «Ожидает платежа».</w:t>
      </w:r>
    </w:p>
    <w:p>
      <w:pPr>
        <w:numPr>
          <w:ilvl w:val="0"/>
          <w:numId w:val="5"/>
        </w:numPr>
        <w:spacing w:lineRule="auto"/>
      </w:pPr>
      <w:r>
        <w:rPr/>
        <w:t xml:space="preserve">Ожидает платежа (в ожидании поступления средств, сформирован инвойс, но деньги ещё не пришли).</w:t>
      </w:r>
    </w:p>
    <w:p>
      <w:pPr>
        <w:numPr>
          <w:ilvl w:val="0"/>
          <w:numId w:val="5"/>
        </w:numPr>
        <w:spacing w:lineRule="auto"/>
      </w:pPr>
      <w:r>
        <w:rPr/>
        <w:t xml:space="preserve">Отменён (не прошла оплата).</w:t>
      </w:r>
    </w:p>
    <w:p>
      <w:pPr>
        <w:numPr>
          <w:ilvl w:val="0"/>
          <w:numId w:val="5"/>
        </w:numPr>
        <w:spacing w:lineRule="auto"/>
      </w:pPr>
      <w:r>
        <w:rPr/>
        <w:t xml:space="preserve">Возврат платежа (платёж прошёл, но после сделали его возврат).</w:t>
      </w:r>
    </w:p>
    <w:p>
      <w:pPr>
        <w:spacing w:lineRule="auto"/>
      </w:pPr>
      <w:r>
        <w:rPr>
          <w:b/>
        </w:rPr>
        <w:t xml:space="preserve">ID.</w:t>
      </w:r>
      <w:r>
        <w:rPr/>
        <w:t xml:space="preserve"> Номер платежа в нашей системе.</w:t>
      </w:r>
    </w:p>
    <w:p>
      <w:pPr>
        <w:spacing w:lineRule="auto"/>
      </w:pPr>
      <w:r>
        <w:rPr>
          <w:b/>
        </w:rPr>
        <w:t xml:space="preserve">Дата документа.</w:t>
      </w:r>
      <w:r>
        <w:rPr/>
        <w:t xml:space="preserve"> Отображает дату и время выставления платежа.</w:t>
      </w:r>
    </w:p>
    <w:p>
      <w:pPr>
        <w:spacing w:lineRule="auto"/>
      </w:pPr>
      <w:r>
        <w:rPr>
          <w:b/>
        </w:rPr>
        <w:t xml:space="preserve">Дата оплаты.</w:t>
      </w:r>
      <w:r>
        <w:rPr/>
        <w:t xml:space="preserve"> Отображает дату и время оплаты платежа.</w:t>
      </w:r>
    </w:p>
    <w:p>
      <w:pPr>
        <w:spacing w:lineRule="auto"/>
      </w:pPr>
      <w:r>
        <w:rPr>
          <w:b/>
        </w:rPr>
        <w:t xml:space="preserve">Плательщик.</w:t>
      </w:r>
      <w:r>
        <w:rPr/>
        <w:t xml:space="preserve"> Юридическое или физическое лицо, от которого произвели оплату и способ оплаты (расчётный счёт компании, карта, СБП).</w:t>
      </w:r>
    </w:p>
    <w:p>
      <w:pPr>
        <w:spacing w:lineRule="auto"/>
      </w:pPr>
      <w:r>
        <w:rPr>
          <w:b/>
        </w:rPr>
        <w:t xml:space="preserve">Период.</w:t>
      </w:r>
      <w:r>
        <w:rPr/>
        <w:t xml:space="preserve"> Отображает оплаченный период.</w:t>
      </w:r>
    </w:p>
    <w:p>
      <w:pPr>
        <w:spacing w:lineRule="auto"/>
      </w:pPr>
      <w:r>
        <w:rPr>
          <w:b/>
        </w:rPr>
        <w:t xml:space="preserve">Сумма.</w:t>
      </w:r>
      <w:r>
        <w:rPr/>
        <w:t xml:space="preserve"> Сколько нужно заплатить, а в случае оплаченного платежа — сколько заплатили.</w:t>
      </w:r>
    </w:p>
    <w:p>
      <w:pPr>
        <w:spacing w:lineRule="auto"/>
      </w:pPr>
      <w:r>
        <w:rPr>
          <w:b/>
        </w:rPr>
        <w:t xml:space="preserve">Документ.</w:t>
      </w:r>
      <w:r>
        <w:rPr/>
        <w:t xml:space="preserve"> По нажатию скачивается инвойс (для юридических лиц).</w:t>
      </w:r>
    </w:p>
    <w:p>
      <w:pPr>
        <w:spacing w:lineRule="auto"/>
      </w:pPr>
      <w:r>
        <w:rPr/>
        <w:drawing>
          <wp:inline distB="0" distL="0" distR="0" distT="0">
            <wp:extent cx="5486400" cy="1767840"/>
            <wp:effectExtent b="0" l="0" r="0" t="0"/>
            <wp:docPr id="5" name="image-St4x9EwcSrhFc1rWxxaI9.png"/>
            <a:graphic>
              <a:graphicData uri="http://schemas.openxmlformats.org/drawingml/2006/picture">
                <pic:pic>
                  <pic:nvPicPr>
                    <pic:cNvPr id="5" name="image-St4x9EwcSrhFc1rWxxaI9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7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платеж по карте в валюте UZS прошел успешно, плательщик всегда будет отображаться как «Банковская карта», вместо номера карты.</w:t>
      </w:r>
    </w:p>
    <w:p>
      <w:pPr>
        <w:spacing w:lineRule="auto"/>
      </w:pPr>
      <w:r>
        <w:rPr/>
        <w:t xml:space="preserve">В правой части экрана можно настроить получение документов: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Акт-сверки.</w:t>
      </w:r>
      <w:r>
        <w:rPr/>
        <w:t xml:space="preserve"> Перед формированием выберите период, плательщика и продавца (ООО «Тесла Телеком, РФ» и ООО «CHUKREEV PBX, UZ»).  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Получение оригиналов.</w:t>
      </w:r>
      <w:r>
        <w:rPr/>
        <w:t xml:space="preserve"> Выберите удобный способ получения документов (не получать оригиналы, Почтой РФ, через Диадок, через Такском, через другие ЭДО (роуминг)).</w:t>
      </w:r>
    </w:p>
    <w:p>
      <w:pPr>
        <w:spacing w:lineRule="auto"/>
      </w:pPr>
      <w:r>
        <w:rPr/>
        <w:drawing>
          <wp:inline distB="0" distL="0" distR="0" distT="0">
            <wp:extent cx="5486400" cy="1767840"/>
            <wp:effectExtent b="0" l="0" r="0" t="0"/>
            <wp:docPr id="6" name="image-3AuwIn8dKg_2XOBA7uUS5.png"/>
            <a:graphic>
              <a:graphicData uri="http://schemas.openxmlformats.org/drawingml/2006/picture">
                <pic:pic>
                  <pic:nvPicPr>
                    <pic:cNvPr id="6" name="image-3AuwIn8dKg_2XOBA7uUS5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7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о предоставляемых нами </w:t>
      </w:r>
      <w:hyperlink r:id="rId16">
        <w:r>
          <w:rPr>
            <w:rStyle w:val="Hyperlink"/>
          </w:rPr>
          <w:t xml:space="preserve">документах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Раздел «Помощь»</w:t>
      </w:r>
    </w:p>
    <w:p>
      <w:pPr>
        <w:spacing w:lineRule="auto"/>
      </w:pPr>
      <w:r>
        <w:rPr/>
        <w:t xml:space="preserve">На странице расположено два основных блока: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Справочная информация</w:t>
      </w:r>
      <w:r>
        <w:rPr/>
        <w:t xml:space="preserve">. Справочная информация о том, как оплатить, о часто задаваемых вопросах, финансовых вопросах, документах, оферте; контакты для связи с финансовым отделом и отделом продаж onlinePBX.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Активные лицензии</w:t>
      </w:r>
      <w:r>
        <w:rPr/>
        <w:t xml:space="preserve">. Можно увидеть, какие лицензии сейчас активны.</w:t>
      </w:r>
    </w:p>
    <w:p>
      <w:pPr>
        <w:spacing w:lineRule="auto"/>
      </w:pPr>
      <w:r>
        <w:rPr/>
        <w:drawing>
          <wp:inline distB="0" distL="0" distR="0" distT="0">
            <wp:extent cx="5486400" cy="2450011"/>
            <wp:effectExtent b="0" l="0" r="0" t="0"/>
            <wp:docPr id="7" name="image-sp1yLaRxzPw3b6WRDRag2.png"/>
            <a:graphic>
              <a:graphicData uri="http://schemas.openxmlformats.org/drawingml/2006/picture">
                <pic:pic>
                  <pic:nvPicPr>
                    <pic:cNvPr id="7" name="image-sp1yLaRxzPw3b6WRDRag2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00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https://kb.onlinepbx.ru/a/razdel-oplata-servisa-v-onlinepbx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4FXosQey3cK_jGil2wa8W.png" TargetMode="Internal"/>
  <Relationship Id="rId7" Type="http://schemas.openxmlformats.org/officeDocument/2006/relationships/hyperlink" Target="https://kb.onlinepbx.ru/a/kak-oplatit" TargetMode="External"/>
  <Relationship Id="rId8" Type="http://schemas.openxmlformats.org/officeDocument/2006/relationships/image" Target="media/image-BL8-gtDcUxngKav9tmNIT.png" TargetMode="Internal"/>
  <Relationship Id="rId9" Type="http://schemas.openxmlformats.org/officeDocument/2006/relationships/hyperlink" Target="https://kb.onlinepbx.ru/a/kak-oplatit" TargetMode="External"/>
  <Relationship Id="rId10" Type="http://schemas.openxmlformats.org/officeDocument/2006/relationships/hyperlink" Target="https://kb.onlinepbx.ru/a/avtomaticheskiy-platezh" TargetMode="External"/>
  <Relationship Id="rId11" Type="http://schemas.openxmlformats.org/officeDocument/2006/relationships/image" Target="media/image-u855iGAJ1IaIoLMUxXJvK.png" TargetMode="Internal"/>
  <Relationship Id="rId12" Type="http://schemas.openxmlformats.org/officeDocument/2006/relationships/hyperlink" Target="https://kb.onlinepbx.ru/a/avtomaticheskiy-platezh" TargetMode="External"/>
  <Relationship Id="rId13" Type="http://schemas.openxmlformats.org/officeDocument/2006/relationships/image" Target="media/image-dXdd0HrQ_Ax4gehLA4Cyi.png" TargetMode="Internal"/>
  <Relationship Id="rId14" Type="http://schemas.openxmlformats.org/officeDocument/2006/relationships/image" Target="media/image-St4x9EwcSrhFc1rWxxaI9.png" TargetMode="Internal"/>
  <Relationship Id="rId15" Type="http://schemas.openxmlformats.org/officeDocument/2006/relationships/image" Target="media/image-3AuwIn8dKg_2XOBA7uUS5.png" TargetMode="Internal"/>
  <Relationship Id="rId16" Type="http://schemas.openxmlformats.org/officeDocument/2006/relationships/hyperlink" Target="https://kb.onlinepbx.ru/a/dokumenty" TargetMode="External"/>
  <Relationship Id="rId17" Type="http://schemas.openxmlformats.org/officeDocument/2006/relationships/image" Target="media/image-sp1yLaRxzPw3b6WRDRag2.png" TargetMode="Internal"/>
  <Relationship Id="rId18" Type="http://schemas.openxmlformats.org/officeDocument/2006/relationships/hyperlink" Target="https://kb.onlinepbx.ru/a/razdel-oplata-servisa-v-onlinepbx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«Оплата сервиса»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