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ГетКурс / GetCourse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GetCourse</w:t>
      </w:r>
      <w:r>
        <w:rPr/>
        <w:t xml:space="preserve"> — платформа для продажи и проведения онлайн-курсов для тренеров, преподавателей, инфо-бизнесменов. Сервис включает в себя все необходимые модули для онлайн-продаж и обучения: CMS, CRM, тренинги и вебинары, прием платежей, автодоступы к курсам, рассылки и SMS, управление трафиком, партнерская программа, автоворонки, </w:t>
      </w:r>
      <w:r>
        <w:rPr/>
        <w:t xml:space="preserve">автозвонки</w:t>
      </w:r>
      <w:r>
        <w:rPr/>
        <w:t xml:space="preserve"> и многое другое.</w:t>
      </w:r>
    </w:p>
    <w:p>
      <w:pPr>
        <w:pStyle w:val="Heading2"/>
        <w:spacing w:lineRule="auto"/>
      </w:pPr>
      <w:r>
        <w:rPr/>
        <w:t xml:space="preserve">Возможности интеграции</w:t>
      </w:r>
    </w:p>
    <w:p>
      <w:pPr>
        <w:numPr>
          <w:ilvl w:val="0"/>
          <w:numId w:val="1"/>
        </w:numPr>
        <w:spacing w:lineRule="auto"/>
      </w:pPr>
      <w:r>
        <w:rPr/>
        <w:t xml:space="preserve">Карточка клиента при входящем. Для работы необходима установка </w:t>
      </w:r>
      <w:hyperlink r:id="rId6">
        <w:r>
          <w:rPr>
            <w:rStyle w:val="Hyperlink"/>
          </w:rPr>
          <w:t xml:space="preserve">виджета GetCourse для Google Chrome</w:t>
        </w:r>
      </w:hyperlink>
      <w:r>
        <w:rPr/>
        <w:t xml:space="preserve">.</w:t>
      </w:r>
    </w:p>
    <w:p>
      <w:pPr>
        <w:numPr>
          <w:ilvl w:val="0"/>
          <w:numId w:val="1"/>
        </w:numPr>
        <w:spacing w:lineRule="auto"/>
      </w:pPr>
      <w:r>
        <w:rPr/>
        <w:t xml:space="preserve">Идентификация клиента по номеру.</w:t>
      </w:r>
    </w:p>
    <w:p>
      <w:pPr>
        <w:numPr>
          <w:ilvl w:val="0"/>
          <w:numId w:val="1"/>
        </w:numPr>
        <w:spacing w:lineRule="auto"/>
      </w:pPr>
      <w:r>
        <w:rPr/>
        <w:t xml:space="preserve">Звонки из карточки пользователей.</w:t>
      </w:r>
    </w:p>
    <w:p>
      <w:pPr>
        <w:numPr>
          <w:ilvl w:val="0"/>
          <w:numId w:val="1"/>
        </w:numPr>
        <w:spacing w:lineRule="auto"/>
      </w:pPr>
      <w:r>
        <w:rPr/>
        <w:t xml:space="preserve">В CRM хранятся история и записи разговоров.</w:t>
      </w:r>
    </w:p>
    <w:p>
      <w:pPr>
        <w:numPr>
          <w:ilvl w:val="0"/>
          <w:numId w:val="1"/>
        </w:numPr>
        <w:spacing w:lineRule="auto"/>
      </w:pPr>
      <w:r>
        <w:rPr/>
        <w:t xml:space="preserve">Автозвонки.</w:t>
      </w:r>
    </w:p>
    <w:p>
      <w:pPr>
        <w:pStyle w:val="Heading2"/>
        <w:spacing w:lineRule="auto"/>
      </w:pPr>
      <w:r>
        <w:rPr/>
        <w:t xml:space="preserve">Как подключить интеграцию</w:t>
      </w:r>
    </w:p>
    <w:p>
      <w:pPr>
        <w:spacing w:lineRule="auto"/>
      </w:pPr>
      <w:r>
        <w:rPr>
          <w:b/>
        </w:rPr>
        <w:t xml:space="preserve">Шаг 1.</w:t>
      </w:r>
      <w:r>
        <w:rPr/>
        <w:t xml:space="preserve">  Для настройки интеграции понадобятся домен и API-ключ из аккаунта onlinePBX. Зайдите в личный кабинет </w:t>
      </w:r>
      <w:hyperlink r:id="rId7">
        <w:r>
          <w:rPr>
            <w:rStyle w:val="Hyperlink"/>
          </w:rPr>
          <w:t xml:space="preserve">onlinePBX</w:t>
        </w:r>
      </w:hyperlink>
      <w:r>
        <w:rPr/>
        <w:t xml:space="preserve">. Перейдите в </w:t>
      </w:r>
      <w:r>
        <w:rPr/>
        <w:t xml:space="preserve">Интеграция &gt; API</w:t>
      </w:r>
      <w:r>
        <w:rPr/>
        <w:t xml:space="preserve">. Скопируйте API-ключ, название домена будет в верхней части панели.</w:t>
      </w:r>
    </w:p>
    <w:p>
      <w:pPr>
        <w:spacing w:lineRule="auto"/>
      </w:pPr>
      <w:r>
        <w:rPr/>
        <w:drawing>
          <wp:inline distB="0" distL="0" distR="0" distT="0">
            <wp:extent cx="5486400" cy="3254213"/>
            <wp:effectExtent b="0" l="0" r="0" t="0"/>
            <wp:docPr id="1" name="image-c4ojOQS29bBtHGQ0yaEJt.png"/>
            <a:graphic>
              <a:graphicData uri="http://schemas.openxmlformats.org/drawingml/2006/picture">
                <pic:pic>
                  <pic:nvPicPr>
                    <pic:cNvPr id="1" name="image-c4ojOQS29bBtHGQ0yaEJt.png" descr=""/>
                    <pic:cNvPicPr/>
                  </pic:nvPicPr>
                  <pic:blipFill>
                    <a:blip r:embed="rId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42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Шаг 2.</w:t>
      </w:r>
      <w:r>
        <w:rPr/>
        <w:t xml:space="preserve"> Авторизуйтесь в </w:t>
      </w:r>
      <w:hyperlink r:id="rId9">
        <w:r>
          <w:rPr>
            <w:rStyle w:val="Hyperlink"/>
          </w:rPr>
          <w:t xml:space="preserve">GetCourse</w:t>
        </w:r>
      </w:hyperlink>
      <w:r>
        <w:rPr/>
        <w:t xml:space="preserve">. В левом верхнем углу нажмите на аватар пользователя, в открывшемся меню нажмите </w:t>
      </w:r>
      <w:r>
        <w:rPr/>
        <w:t xml:space="preserve">«Настройки аккаунта».</w:t>
      </w:r>
    </w:p>
    <w:p>
      <w:pPr>
        <w:spacing w:lineRule="auto"/>
      </w:pPr>
      <w:r>
        <w:rPr/>
        <w:drawing>
          <wp:inline distB="0" distL="0" distR="0" distT="0">
            <wp:extent cx="5486400" cy="5573210"/>
            <wp:effectExtent b="0" l="0" r="0" t="0"/>
            <wp:docPr id="2" name="image-KMHjtdQVb7Eu_kpIffGTt.png"/>
            <a:graphic>
              <a:graphicData uri="http://schemas.openxmlformats.org/drawingml/2006/picture">
                <pic:pic>
                  <pic:nvPicPr>
                    <pic:cNvPr id="2" name="image-KMHjtdQVb7Eu_kpIffGTt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32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Шаг 3.</w:t>
      </w:r>
      <w:r>
        <w:rPr/>
        <w:t xml:space="preserve"> В настройках аккаунта пройдите в </w:t>
      </w:r>
      <w:r>
        <w:rPr/>
        <w:t xml:space="preserve">«АТС».</w:t>
      </w:r>
    </w:p>
    <w:p>
      <w:pPr>
        <w:spacing w:lineRule="auto"/>
      </w:pPr>
      <w:r>
        <w:rPr/>
        <w:drawing>
          <wp:inline distB="0" distL="0" distR="0" distT="0">
            <wp:extent cx="5486400" cy="3179618"/>
            <wp:effectExtent b="0" l="0" r="0" t="0"/>
            <wp:docPr id="3" name="image-stvWO5PR2Pym5-QE_05UC.png"/>
            <a:graphic>
              <a:graphicData uri="http://schemas.openxmlformats.org/drawingml/2006/picture">
                <pic:pic>
                  <pic:nvPicPr>
                    <pic:cNvPr id="3" name="image-stvWO5PR2Pym5-QE_05UC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96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Шаг 4.</w:t>
      </w:r>
      <w:r>
        <w:rPr/>
        <w:t xml:space="preserve"> Поставьте галочку в поле </w:t>
      </w:r>
      <w:r>
        <w:rPr/>
        <w:t xml:space="preserve">«Подключить\Выключить АТС»</w:t>
      </w:r>
      <w:r>
        <w:rPr/>
        <w:t xml:space="preserve">, чтобы подключить onlinePBX.</w:t>
      </w:r>
    </w:p>
    <w:p>
      <w:pPr>
        <w:spacing w:lineRule="auto"/>
      </w:pPr>
      <w:r>
        <w:rPr/>
        <w:drawing>
          <wp:inline distB="0" distL="0" distR="0" distT="0">
            <wp:extent cx="5486400" cy="4794422"/>
            <wp:effectExtent b="0" l="0" r="0" t="0"/>
            <wp:docPr id="4" name="image-1_C-B5j4xtqMkglG9r58O.png"/>
            <a:graphic>
              <a:graphicData uri="http://schemas.openxmlformats.org/drawingml/2006/picture">
                <pic:pic>
                  <pic:nvPicPr>
                    <pic:cNvPr id="4" name="image-1_C-B5j4xtqMkglG9r58O.pn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44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Шаг 5.</w:t>
      </w:r>
      <w:r>
        <w:rPr/>
        <w:t xml:space="preserve"> Откроется окно, в поле </w:t>
      </w:r>
      <w:r>
        <w:rPr/>
        <w:t xml:space="preserve">«SIP домен»</w:t>
      </w:r>
      <w:r>
        <w:rPr/>
        <w:t xml:space="preserve"> впишите домен из </w:t>
      </w:r>
      <w:r>
        <w:rPr>
          <w:b/>
        </w:rPr>
        <w:t xml:space="preserve">«Шаг 1»</w:t>
      </w:r>
      <w:r>
        <w:rPr/>
        <w:t xml:space="preserve">. В поле </w:t>
      </w:r>
      <w:r>
        <w:rPr/>
        <w:t xml:space="preserve">«Ключ»</w:t>
      </w:r>
      <w:r>
        <w:rPr/>
        <w:t xml:space="preserve"> вставьте API-ключ из </w:t>
      </w:r>
      <w:r>
        <w:rPr>
          <w:b/>
        </w:rPr>
        <w:t xml:space="preserve">«Шаг 1»</w:t>
      </w:r>
      <w:r>
        <w:rPr/>
        <w:t xml:space="preserve">.</w:t>
      </w:r>
    </w:p>
    <w:p>
      <w:pPr>
        <w:spacing w:lineRule="auto"/>
      </w:pPr>
      <w:r>
        <w:rPr/>
        <w:t xml:space="preserve"> </w:t>
      </w:r>
      <w:r>
        <w:rPr/>
        <w:drawing>
          <wp:inline distB="0" distL="0" distR="0" distT="0">
            <wp:extent cx="5486400" cy="6804837"/>
            <wp:effectExtent b="0" l="0" r="0" t="0"/>
            <wp:docPr id="5" name="image-F9X150RRYhy71MQMsmtI6.png"/>
            <a:graphic>
              <a:graphicData uri="http://schemas.openxmlformats.org/drawingml/2006/picture">
                <pic:pic>
                  <pic:nvPicPr>
                    <pic:cNvPr id="5" name="image-F9X150RRYhy71MQMsmtI6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048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Шаг 6.</w:t>
      </w:r>
      <w:r>
        <w:rPr/>
        <w:t xml:space="preserve"> Настройте соответствие пользователей. Для этого нажмите </w:t>
      </w:r>
      <w:r>
        <w:rPr/>
        <w:t xml:space="preserve">«Добавить номер».</w:t>
      </w:r>
    </w:p>
    <w:p>
      <w:pPr>
        <w:spacing w:lineRule="auto"/>
      </w:pPr>
      <w:r>
        <w:rPr/>
        <w:drawing>
          <wp:inline distB="0" distL="0" distR="0" distT="0">
            <wp:extent cx="5486400" cy="5611091"/>
            <wp:effectExtent b="0" l="0" r="0" t="0"/>
            <wp:docPr id="6" name="image-C6sh7vrnH7AK1n82OOgsN.png"/>
            <a:graphic>
              <a:graphicData uri="http://schemas.openxmlformats.org/drawingml/2006/picture">
                <pic:pic>
                  <pic:nvPicPr>
                    <pic:cNvPr id="6" name="image-C6sh7vrnH7AK1n82OOgsN.pn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110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Далее введите добавочные сотрудников из onlinePBX и поставьте соответствие пользователям из GetCourse.</w:t>
      </w:r>
    </w:p>
    <w:p>
      <w:pPr>
        <w:spacing w:lineRule="auto"/>
      </w:pPr>
      <w:r>
        <w:rPr/>
        <w:drawing>
          <wp:inline distB="0" distL="0" distR="0" distT="0">
            <wp:extent cx="5486400" cy="1564783"/>
            <wp:effectExtent b="0" l="0" r="0" t="0"/>
            <wp:docPr id="7" name="image-bUs_4QA6kBEQU-7sfmW_6.png"/>
            <a:graphic>
              <a:graphicData uri="http://schemas.openxmlformats.org/drawingml/2006/picture">
                <pic:pic>
                  <pic:nvPicPr>
                    <pic:cNvPr id="7" name="image-bUs_4QA6kBEQU-7sfmW_6.png" descr=""/>
                    <pic:cNvPicPr/>
                  </pic:nvPicPr>
                  <pic:blipFill>
                    <a:blip r:embed="rId1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647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Когда добавлены все пользователи, нажмите кнопку </w:t>
      </w:r>
      <w:r>
        <w:rPr/>
        <w:t xml:space="preserve">«Сохранить».</w:t>
      </w:r>
    </w:p>
    <w:p>
      <w:pPr>
        <w:spacing w:lineRule="auto"/>
      </w:pPr>
      <w:r>
        <w:rPr/>
        <w:drawing>
          <wp:inline distB="0" distL="0" distR="0" distT="0">
            <wp:extent cx="5486400" cy="2663755"/>
            <wp:effectExtent b="0" l="0" r="0" t="0"/>
            <wp:docPr id="8" name="image-rIMT2Nhh1K7U1MWwOVZ_o.png"/>
            <a:graphic>
              <a:graphicData uri="http://schemas.openxmlformats.org/drawingml/2006/picture">
                <pic:pic>
                  <pic:nvPicPr>
                    <pic:cNvPr id="8" name="image-rIMT2Nhh1K7U1MWwOVZ_o.png" descr=""/>
                    <pic:cNvPicPr/>
                  </pic:nvPicPr>
                  <pic:blipFill>
                    <a:blip r:embed="rId1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637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Готово!</w:t>
      </w:r>
    </w:p>
    <w:p>
      <w:pPr>
        <w:spacing w:lineRule="auto"/>
      </w:pPr>
      <w:r>
        <w:rPr/>
        <w:t xml:space="preserve">В GetCourse можно настроить переадресацию входящих звонков на ответственного за контакт сотрудника. При этом логика входящих в панели управления onlinePBX будет срабатывать только для уникальных входящих. Для подобной настройки обратитесь к специалистам GetCourse. </w:t>
      </w:r>
    </w:p>
    <w:p>
      <w:pPr>
        <w:spacing w:lineRule="auto"/>
      </w:pPr>
      <w:r>
        <w:rPr/>
        <w:t xml:space="preserve">Чтобы просмотреть и прослушать звонки в GetCourse, перейдите в </w:t>
      </w:r>
      <w:r>
        <w:rPr/>
        <w:t xml:space="preserve">Пользователи &gt; Звонки и встречи</w:t>
      </w:r>
      <w:r>
        <w:rPr/>
        <w:t xml:space="preserve">.</w:t>
      </w:r>
    </w:p>
    <w:p>
      <w:pPr>
        <w:spacing w:lineRule="auto"/>
      </w:pPr>
      <w:r>
        <w:rPr/>
        <w:t xml:space="preserve">Есть особенности использования звонка по клику. Подробнее в </w:t>
      </w:r>
      <w:hyperlink r:id="rId17">
        <w:r>
          <w:rPr>
            <w:rStyle w:val="Hyperlink"/>
          </w:rPr>
          <w:t xml:space="preserve">статье.</w:t>
        </w:r>
      </w:hyperlink>
    </w:p>
    <w:p>
      <w:pPr>
        <w:spacing w:lineRule="auto"/>
      </w:pPr>
      <w:r>
        <w:rPr/>
        <w:t xml:space="preserve">Настройка автообзвона GetCourse в личном кабинете onlinePBX</w:t>
      </w:r>
    </w:p>
    <w:p>
      <w:pPr>
        <w:spacing w:lineRule="auto"/>
      </w:pPr>
      <w:r>
        <w:rPr/>
        <w:t xml:space="preserve">Настроить работу автообзвона с номерами оператора Voximplant нельзя, звонки будут блокироваться.</w:t>
      </w:r>
    </w:p>
    <w:p>
      <w:pPr>
        <w:spacing w:lineRule="auto"/>
      </w:pPr>
      <w:r>
        <w:rPr/>
        <w:t xml:space="preserve">⁠</w:t>
      </w:r>
    </w:p>
    <w:p>
      <w:pPr>
        <w:spacing w:lineRule="auto"/>
      </w:pPr>
      <w:r>
        <w:rPr/>
        <w:t xml:space="preserve">В личном кабинете onlinePBX перейдите в </w:t>
      </w:r>
      <w:r>
        <w:rPr/>
        <w:t xml:space="preserve">АТС &gt; Входящие &gt; Приветствие</w:t>
      </w:r>
      <w:r>
        <w:rPr/>
        <w:t xml:space="preserve">. В поле </w:t>
      </w:r>
      <w:r>
        <w:rPr/>
        <w:t xml:space="preserve">«Аудиофайл»</w:t>
      </w:r>
      <w:r>
        <w:rPr/>
        <w:t xml:space="preserve"> нажмите на знак загрузки, чтобы загрузить аудиофайл. Чтобы голосовое сообщение проигрывалось только один раз, в настройках приветствия в поле </w:t>
      </w:r>
      <w:r>
        <w:rPr/>
        <w:t xml:space="preserve">«Задержка»</w:t>
      </w:r>
      <w:r>
        <w:rPr/>
        <w:t xml:space="preserve"> поставьте значение одна секунда, в поле </w:t>
      </w:r>
      <w:r>
        <w:rPr/>
        <w:t xml:space="preserve">«Перенаправить на»</w:t>
      </w:r>
      <w:r>
        <w:rPr/>
        <w:t xml:space="preserve"> поставьте несуществующий номер, например, 0. Нажмите </w:t>
      </w:r>
      <w:r>
        <w:rPr/>
        <w:t xml:space="preserve">«Добавить».</w:t>
      </w:r>
    </w:p>
    <w:p>
      <w:pPr>
        <w:spacing w:lineRule="auto"/>
      </w:pPr>
      <w:r>
        <w:rPr/>
        <w:t xml:space="preserve">Подробнее о создании приветствия в </w:t>
      </w:r>
      <w:hyperlink r:id="rId18">
        <w:r>
          <w:rPr>
            <w:rStyle w:val="Hyperlink"/>
          </w:rPr>
          <w:t xml:space="preserve">статье</w:t>
        </w:r>
      </w:hyperlink>
      <w:r>
        <w:rPr/>
        <w:t xml:space="preserve">. </w:t>
      </w:r>
    </w:p>
    <w:p>
      <w:pPr>
        <w:spacing w:lineRule="auto"/>
      </w:pPr>
      <w:r>
        <w:rPr/>
        <w:drawing>
          <wp:inline distB="0" distL="0" distR="0" distT="0">
            <wp:extent cx="5486400" cy="2642199"/>
            <wp:effectExtent b="0" l="0" r="0" t="0"/>
            <wp:docPr id="9" name="image-VmAg0Hj8LwPY9KKvl4eHM.png"/>
            <a:graphic>
              <a:graphicData uri="http://schemas.openxmlformats.org/drawingml/2006/picture">
                <pic:pic>
                  <pic:nvPicPr>
                    <pic:cNvPr id="9" name="image-VmAg0Hj8LwPY9KKvl4eHM.png" descr=""/>
                    <pic:cNvPicPr/>
                  </pic:nvPicPr>
                  <pic:blipFill>
                    <a:blip r:embed="rId1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421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Перейдите в </w:t>
      </w:r>
      <w:r>
        <w:rPr/>
        <w:t xml:space="preserve">АТС &gt; Исходящие</w:t>
      </w:r>
      <w:r>
        <w:rPr/>
        <w:t xml:space="preserve">. Нажмите </w:t>
      </w:r>
      <w:r>
        <w:rPr/>
        <w:t xml:space="preserve">«+ Добавить»</w:t>
      </w:r>
      <w:r>
        <w:rPr/>
        <w:t xml:space="preserve">. Создайте правило для автоматической замены префикса в номере (7, +7, 8). Узнайте, какой формат номера требует оператор связи, у которого приобретён внешний номер. Сохраните изменения.</w:t>
      </w:r>
    </w:p>
    <w:p>
      <w:pPr>
        <w:spacing w:lineRule="auto"/>
      </w:pPr>
      <w:r>
        <w:rPr/>
        <w:drawing>
          <wp:inline distB="0" distL="0" distR="0" distT="0">
            <wp:extent cx="5486400" cy="2621460"/>
            <wp:effectExtent b="0" l="0" r="0" t="0"/>
            <wp:docPr id="10" name="image-eSpiToBK5UIU8vZGhUw-m.png"/>
            <a:graphic>
              <a:graphicData uri="http://schemas.openxmlformats.org/drawingml/2006/picture">
                <pic:pic>
                  <pic:nvPicPr>
                    <pic:cNvPr id="10" name="image-eSpiToBK5UIU8vZGhUw-m.png" descr=""/>
                    <pic:cNvPicPr/>
                  </pic:nvPicPr>
                  <pic:blipFill>
                    <a:blip r:embed="rId2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14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Если необходимо, создайте правило для блокировки звонков на определённые направления при исходящих звонках. На примере ниже правило блокирует исходящие на номера Казахстана:</w:t>
      </w:r>
    </w:p>
    <w:p>
      <w:pPr>
        <w:spacing w:lineRule="auto"/>
      </w:pPr>
      <w:r>
        <w:rPr/>
        <w:drawing>
          <wp:inline distB="0" distL="0" distR="0" distT="0">
            <wp:extent cx="5486400" cy="2621460"/>
            <wp:effectExtent b="0" l="0" r="0" t="0"/>
            <wp:docPr id="11" name="image--rlb9o85MQJTyhgO6iNyU.png"/>
            <a:graphic>
              <a:graphicData uri="http://schemas.openxmlformats.org/drawingml/2006/picture">
                <pic:pic>
                  <pic:nvPicPr>
                    <pic:cNvPr id="11" name="image--rlb9o85MQJTyhgO6iNyU.png" descr=""/>
                    <pic:cNvPicPr/>
                  </pic:nvPicPr>
                  <pic:blipFill>
                    <a:blip r:embed="rId2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14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Если необходимо заблокировать какое-либо направление, то нужно в правиле в поле </w:t>
      </w:r>
      <w:r>
        <w:rPr/>
        <w:t xml:space="preserve">«Для пользователей»</w:t>
      </w:r>
      <w:r>
        <w:rPr/>
        <w:t xml:space="preserve"> выбрать </w:t>
      </w:r>
      <w:r>
        <w:rPr/>
        <w:t xml:space="preserve">«Любой»</w:t>
      </w:r>
      <w:r>
        <w:rPr/>
        <w:t xml:space="preserve"> и поставить данное правило первым в списке. </w:t>
      </w:r>
    </w:p>
    <w:p>
      <w:pPr>
        <w:spacing w:lineRule="auto"/>
      </w:pPr>
      <w:r>
        <w:rPr/>
        <w:t xml:space="preserve">Подробнее о создании правил в </w:t>
      </w:r>
      <w:hyperlink r:id="rId22">
        <w:r>
          <w:rPr>
            <w:rStyle w:val="Hyperlink"/>
          </w:rPr>
          <w:t xml:space="preserve">статье</w:t>
        </w:r>
      </w:hyperlink>
      <w:r>
        <w:rPr/>
        <w:t xml:space="preserve">. </w:t>
      </w:r>
    </w:p>
    <w:p>
      <w:pPr>
        <w:spacing w:lineRule="auto"/>
      </w:pPr>
      <w:r>
        <w:rPr>
          <w:b/>
        </w:rPr>
        <w:t xml:space="preserve">Особенности работы автообзвона GetCourse:</w:t>
      </w:r>
    </w:p>
    <w:p>
      <w:pPr>
        <w:numPr>
          <w:ilvl w:val="0"/>
          <w:numId w:val="2"/>
        </w:numPr>
        <w:spacing w:lineRule="auto"/>
      </w:pPr>
      <w:r>
        <w:rPr/>
        <w:t xml:space="preserve">Если в личном кабинете GetCourse указан транк для исходящих, то созданные правила для исходящих в личном кабинете onlinePBX будут игнорироваться. </w:t>
      </w:r>
    </w:p>
    <w:p>
      <w:pPr>
        <w:numPr>
          <w:ilvl w:val="0"/>
          <w:numId w:val="2"/>
        </w:numPr>
        <w:spacing w:lineRule="auto"/>
      </w:pPr>
      <w:r>
        <w:rPr/>
        <w:t xml:space="preserve">Если в личном кабинете GetCourse не указан транк для исходящих звонков, то звонки при автообзвоне будут идти по одному, а не сразу несколько, что снизит скорость совершения звонков. </w:t>
      </w:r>
    </w:p>
    <w:p>
      <w:pPr>
        <w:numPr>
          <w:ilvl w:val="0"/>
          <w:numId w:val="2"/>
        </w:numPr>
        <w:spacing w:lineRule="auto"/>
      </w:pPr>
      <w:r>
        <w:rPr/>
        <w:t xml:space="preserve">Когда работает автообзвон, будут срабатывать только те правила </w:t>
      </w:r>
      <w:hyperlink r:id="rId23">
        <w:r>
          <w:rPr>
            <w:rStyle w:val="Hyperlink"/>
          </w:rPr>
          <w:t xml:space="preserve">исходящих</w:t>
        </w:r>
      </w:hyperlink>
      <w:r>
        <w:rPr/>
        <w:t xml:space="preserve">, в которых в поле </w:t>
      </w:r>
      <w:r>
        <w:rPr/>
        <w:t xml:space="preserve">«Для пользователей»</w:t>
      </w:r>
      <w:r>
        <w:rPr/>
        <w:t xml:space="preserve"> выбрано </w:t>
      </w:r>
      <w:r>
        <w:rPr/>
        <w:t xml:space="preserve">«Любой»</w:t>
      </w:r>
      <w:r>
        <w:rPr/>
        <w:t xml:space="preserve">. Если выше поставить правило для отдельных пользователей, то оно при автообзвоне применяться не будет. Данная настройка необходима для работы исходящих звонков с разных номеров. (Например: при автообзвоне используется один номер, а для остальных исходящих — другой).</w:t>
      </w:r>
    </w:p>
    <w:p>
      <w:pPr>
        <w:spacing w:lineRule="auto"/>
      </w:pPr>
      <w:r>
        <w:rPr/>
        <w:t xml:space="preserve">Подробнее о настройке автообзвона в личном кабинете GetCourse и в </w:t>
      </w:r>
      <w:hyperlink r:id="rId24">
        <w:r>
          <w:rPr>
            <w:rStyle w:val="Hyperlink"/>
          </w:rPr>
          <w:t xml:space="preserve">статье</w:t>
        </w:r>
      </w:hyperlink>
      <w:r>
        <w:rPr/>
        <w:t xml:space="preserve">. </w:t>
      </w:r>
    </w:p>
    <w:p>
      <w:pPr>
        <w:spacing w:lineRule="auto"/>
      </w:pPr>
      <w:r>
        <w:rPr/>
        <w:t xml:space="preserve">Онлайн-версия: </w:t>
      </w:r>
      <w:hyperlink r:id="rId25">
        <w:r>
          <w:rPr>
            <w:rStyle w:val="Hyperlink"/>
          </w:rPr>
          <w:t xml:space="preserve">https://kb.onlinepbx.ru/a/getkurs-getcourse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getcourse.ru/blog/276209" TargetMode="External"/>
  <Relationship Id="rId7" Type="http://schemas.openxmlformats.org/officeDocument/2006/relationships/hyperlink" Target="https://panel.onlinepbx.ru/" TargetMode="External"/>
  <Relationship Id="rId8" Type="http://schemas.openxmlformats.org/officeDocument/2006/relationships/image" Target="media/image-c4ojOQS29bBtHGQ0yaEJt.png" TargetMode="Internal"/>
  <Relationship Id="rId9" Type="http://schemas.openxmlformats.org/officeDocument/2006/relationships/hyperlink" Target="https://getcourse.ru/cms/system/login" TargetMode="External"/>
  <Relationship Id="rId10" Type="http://schemas.openxmlformats.org/officeDocument/2006/relationships/image" Target="media/image-KMHjtdQVb7Eu_kpIffGTt.png" TargetMode="Internal"/>
  <Relationship Id="rId11" Type="http://schemas.openxmlformats.org/officeDocument/2006/relationships/image" Target="media/image-stvWO5PR2Pym5-QE_05UC.png" TargetMode="Internal"/>
  <Relationship Id="rId12" Type="http://schemas.openxmlformats.org/officeDocument/2006/relationships/image" Target="media/image-1_C-B5j4xtqMkglG9r58O.png" TargetMode="Internal"/>
  <Relationship Id="rId13" Type="http://schemas.openxmlformats.org/officeDocument/2006/relationships/image" Target="media/image-F9X150RRYhy71MQMsmtI6.png" TargetMode="Internal"/>
  <Relationship Id="rId14" Type="http://schemas.openxmlformats.org/officeDocument/2006/relationships/image" Target="media/image-C6sh7vrnH7AK1n82OOgsN.png" TargetMode="Internal"/>
  <Relationship Id="rId15" Type="http://schemas.openxmlformats.org/officeDocument/2006/relationships/image" Target="media/image-bUs_4QA6kBEQU-7sfmW_6.png" TargetMode="Internal"/>
  <Relationship Id="rId16" Type="http://schemas.openxmlformats.org/officeDocument/2006/relationships/image" Target="media/image-rIMT2Nhh1K7U1MWwOVZ_o.png" TargetMode="Internal"/>
  <Relationship Id="rId17" Type="http://schemas.openxmlformats.org/officeDocument/2006/relationships/hyperlink" Target="https://kb.onlinepbx.ru/a/integratsii-s-crm-i-drugimi-servisami" TargetMode="External"/>
  <Relationship Id="rId18" Type="http://schemas.openxmlformats.org/officeDocument/2006/relationships/hyperlink" Target="https://kb.onlinepbx.ru/a/nastroyka-vkhodyashchikh-zvonkov" TargetMode="External"/>
  <Relationship Id="rId19" Type="http://schemas.openxmlformats.org/officeDocument/2006/relationships/image" Target="media/image-VmAg0Hj8LwPY9KKvl4eHM.png" TargetMode="Internal"/>
  <Relationship Id="rId20" Type="http://schemas.openxmlformats.org/officeDocument/2006/relationships/image" Target="media/image-eSpiToBK5UIU8vZGhUw-m.png" TargetMode="Internal"/>
  <Relationship Id="rId21" Type="http://schemas.openxmlformats.org/officeDocument/2006/relationships/image" Target="media/image--rlb9o85MQJTyhgO6iNyU.png" TargetMode="Internal"/>
  <Relationship Id="rId22" Type="http://schemas.openxmlformats.org/officeDocument/2006/relationships/hyperlink" Target="https://kb.onlinepbx.ru/a/nastroyka-iskhodyashchikh-vyzovov" TargetMode="External"/>
  <Relationship Id="rId23" Type="http://schemas.openxmlformats.org/officeDocument/2006/relationships/hyperlink" Target="https://panel.onlinepbx.ru/ats/outgoing" TargetMode="External"/>
  <Relationship Id="rId24" Type="http://schemas.openxmlformats.org/officeDocument/2006/relationships/hyperlink" Target="https://getcourse.ru/blog/302714" TargetMode="External"/>
  <Relationship Id="rId25" Type="http://schemas.openxmlformats.org/officeDocument/2006/relationships/hyperlink" Target="https://kb.onlinepbx.ru/a/getkurs-getcourse" TargetMode="External"/>
  <Relationship Id="rId2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ГетКурс / GetCourse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