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Финансовые вопросы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Мы работаем с клиентами по публичному </w:t>
      </w:r>
      <w:hyperlink r:id="rId6">
        <w:r>
          <w:rPr>
            <w:rStyle w:val="Hyperlink"/>
          </w:rPr>
          <w:t xml:space="preserve">лицензионному договору</w:t>
        </w:r>
      </w:hyperlink>
      <w:r>
        <w:rPr/>
        <w:t xml:space="preserve">. Договор считается заключенным с момента произведения оплаты за лицензии (акцепта оферты) и дополнительного подписания договора сторонами не требуется. </w:t>
      </w:r>
    </w:p>
    <w:p>
      <w:pPr>
        <w:spacing w:lineRule="auto"/>
      </w:pPr>
      <w:r>
        <w:rPr/>
        <w:t xml:space="preserve">Онлайн-версия: </w:t>
      </w:r>
      <w:hyperlink r:id="rId7">
        <w:r>
          <w:rPr>
            <w:rStyle w:val="Hyperlink"/>
          </w:rPr>
          <w:t xml:space="preserve">https://kb.onlinepbx.ru/a/finansovye-voprosy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ite.onlinepbx.ru/privacy/oferta4-0.pdf" TargetMode="External"/>
  <Relationship Id="rId7" Type="http://schemas.openxmlformats.org/officeDocument/2006/relationships/hyperlink" Target="https://kb.onlinepbx.ru/a/finansovye-voprosy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Финансовые вопросы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